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83" w:rsidRPr="00EF5F83" w:rsidRDefault="00EF5F83" w:rsidP="00EF5F83">
      <w:pPr>
        <w:spacing w:after="100" w:afterAutospacing="1" w:line="240" w:lineRule="auto"/>
        <w:ind w:firstLine="170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O USO DA CADEIRINHA PARA CRIANÇAS EM VEÍCULOS E A RESOLUÇÃO 277/CONTRAN. UMA ANÁLISE PRÁTICA.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A iminência da fiscalização do uso de cadeirinhas em veículos automotores, ditada na Res.277/CONTRAN, traz à baila, de novo, a exemplo da norma que instituiu os kits de primeiros socorros, a imperfeição da normatividade afeta ao trânsito brasileiro.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O USO DA CADEIRINHA PARA CRIANÇAS EM VEÍCULOS E A RESOLUÇÃO 277/CONTRAN. UMA ANÁLISE PRÁTICA.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Jorge Amaral dos Santos</w:t>
      </w:r>
      <w:bookmarkStart w:id="0" w:name="_ednref1"/>
      <w:r w:rsidRPr="00EF5F83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"http://www.jurisway.org.br/v2/dhall.asp?id_dh=4203" \l "_edn1" \o "" \t "_blank" </w:instrTex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EF5F83">
        <w:rPr>
          <w:rFonts w:ascii="Arial" w:eastAsia="Times New Roman" w:hAnsi="Arial" w:cs="Arial"/>
          <w:sz w:val="24"/>
          <w:szCs w:val="24"/>
          <w:u w:val="single"/>
          <w:lang w:eastAsia="pt-BR"/>
        </w:rPr>
        <w:t>[1]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0"/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RESUMO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A iminência da entrada em vigor da fiscalização do uso de cadeirinhas nos veículos automotores, medida estipulada pela Resolução nº 277/CONTRAN de 28 de maio de 2008, traz à baila, mais uma vez, a exemplo da norma que instituiu a obrigatoriedade de kits de primeiros socorros nos veículos, a imperfeição da normatividade afeta ao trânsito brasileiro. A resolução que determina aos condutores de veículos que transportam crianças com idade inferior ou igual a sete anos e meio, com algumas exceções, a dotarem aqueles veículos de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dispositivos de retenção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(tipo bebê-conforto, cadeirinha e/ou assento de elevação) teve o início de sua fiscalização, que era originalmente previsto para 09 de junho, prorrogado para 1º de setembro de 2010. A proximidade da fiscalização da norma teve como efeito uma corrida às lojas especializadas a tal ponto de, em determinados locais, haver fila de espera para a compra daqueles equipamentos. A Resolução 277/ CONTRAN é lacunosa e imperfeita e, ao calar sobre determinados casos, chega a ponto de induzir o consumidor ao erro. Aqui tentaremos esclarecer determinadas situações fáticas a fim de melhor interpretarmos essa Norma. 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Palavras-chave: Cadeirinha. Veículo. Cinto de segurança. Infração de trânsito.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INTRODUÇÃO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O transporte de crianças c om idade inferior a dez anos em veículos automotores e o uso de cinto de segurança, previstos nos art. 64 e 65 da Lei 9.503/97 (Código de Trânsito Brasileiro), foram regulamentados em 06 de fevereiro de 1998 através da Resolução nº 15 do Conselho Nacional de Trânsito (CONTRAN). Tal dispositivo era bastante genérico e determinava que o transporte de crianças menores de 10 anos de idade fosse feito no banco traseiro dos veículos, usando cinto de segurança ou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sistema de retenção equivalente. 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Em 2008 o CONTRAN editou a resolução nº 277 regulamentando mais detalhadamente os artigos 64 e 65 do CTB e revogando a Resolução nº 15. Entretanto a regulamentação restou imperfeita e lacunosa, gerando inúmeras dúvidas nos proprietários de veículos e, inclusive, nos agentes aplicadores da fiscalização de trânsito. Aqui tentaremos expor nossa contribuição com a intenção de tentar dirimir tais incertezas.       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O TRANSPORTE EM VEÍCULOS AUTOMOTORES DE CRIANÇAS MENORES DE 10 ANOS E SUA REGULAMENTAÇÃO ANTERIOR.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     O transporte de crianças menores de dez anos atualmente é disciplinado pelo art. 64 do nosso Código de Trânsito Brasileiro (Lei 9.503/97). Diz o referido artigo que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as crianças com idade inferior a dez anos devem ser transportadas nos bancos traseiros, salvo exceções regulamentadas pelo CONTRAN”.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Sob a égide do Código anterior, a regulamentação era feita pela Resolução nº 611/1983 a qual, segundo Arnaldo Rizzardo</w:t>
      </w:r>
      <w:bookmarkStart w:id="1" w:name="_ednref2"/>
      <w:r w:rsidRPr="00EF5F83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"http://www.jurisway.org.br/v2/dhall.asp?id_dh=4203" \l "_edn2" \o "" \t "_blank" </w:instrTex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EF5F83">
        <w:rPr>
          <w:rFonts w:ascii="Arial" w:eastAsia="Times New Roman" w:hAnsi="Arial" w:cs="Arial"/>
          <w:sz w:val="24"/>
          <w:szCs w:val="24"/>
          <w:u w:val="single"/>
          <w:lang w:eastAsia="pt-BR"/>
        </w:rPr>
        <w:t>[2]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1"/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, apenas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recomendava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que os menores de sete anos fossem transportados no banco traseiro. Entretanto, não cominava nenhuma sanção para a desobediência a tal conduta. Com a vigência do Código atual o CONTRAN expediu a Resolução nº 15, de 06.02.98, abrangendo as crianças com idade inferior a dez anos e passou a prever sanções para a desobediência a tal conduta. O transporte de crianças com idade inferior a dez anos é indispensável para a segurança delas, pois que, no banco traseiro, correm menores riscos em situações de desaceleração brusca do veículo ou acidentes, visto que, além do cinto de segurança ou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sistema de retenção equivalente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, encontram também proteção nos bancos dianteiros do veículo. Salienta-se que a dita regulamentação não trazia em seu bojo modelos dos tais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sistemas de retenção,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o que só foi alcançado com a normatização atual, como veremos a seguir.    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     As exceções referidas no artigo 64 do CTB (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salvo exceções regulamentadas pelo CONTRAN)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e que foram regulamentadas pela Resolução nº 15/CONTRAN, se referiam aos seguintes casos: veículos dotados unicamente de bancos dianteiros (pick ups, caminhões e outros); quando a quantidade de crianças menores de dez anos for maior que a capacidade do banco traseiro (o de maior estatura irá para o banco 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dianteiro); e aqueles que efetuassem transporte remunerado (táxis e veículos de transporte de escolares).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A REGULAMENTAÇÃO ATUAL.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Em 28 de maio de 2008, o Conselho Nacional de Trânsito expediu a Resolução nº 277 regulamentando mais detalhadamente o transporte de crianças menores de dez anos em veículos automotores. Além de dispor sobre os veículos, a norma também traz modelos de equipamentos considerados como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dispositivos de retenção para crianças. 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4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Diz a referida Norma: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Art.1° Para transitar em veículos automotores, os menores de dez anos deverão ser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transportados nos bancos traseiros usando individualmente cinto de segurança ou </w:t>
      </w:r>
      <w:r w:rsidRPr="00EF5F83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sistema de retenção equivalente,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na forma prevista no Anexo desta Resolução.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§1º. Dispositivo de retenção para crianças é o conjunto de elementos que contém uma combinação de tiras com fechos de travamento, dispositivo de ajuste, partes de fixação e, em certos casos, dispositivos como: um berço portátil porta-bebê, uma cadeirinha auxiliar ou uma proteção anti-choque que devem ser fixados ao veículo, mediante a utilização dos cintos de segurança ou outro equipamento apropriado instalado pelo fabricante do veículo com tal finalidade.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§2º. Os dispositivos mencionados no parágrafo anterior são projetados para reduzir o risco ao usuário em casos de colisão ou de desaceleração repentina do veículo, limitando o deslocamento do corpo da criança com idade até sete anos e meio</w:t>
      </w:r>
      <w:bookmarkStart w:id="2" w:name="_ednref3"/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begin"/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instrText xml:space="preserve"> HYPERLINK "http://www.jurisway.org.br/v2/dhall.asp?id_dh=4203" \l "_edn3" \o "" \t "_blank" </w:instrTex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separate"/>
      </w:r>
      <w:r w:rsidRPr="00EF5F8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[3]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end"/>
      </w:r>
      <w:bookmarkEnd w:id="2"/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 Grifamos.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           Referentemente aos veículos, a resolução atual aumentou o leque de isenções ao que estabelecia a Norma anterior, passando a dispor que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as exigências relativas ao sistema de retenção, no transporte de crianças com até sete anos e meio de idade, não se aplicam aos veículos de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lastRenderedPageBreak/>
        <w:t>transporte coletivo, aos de aluguel, aos de transporte autônomo de passageiro (táxi), aos veículos escolares e aos demais veículos com peso bruto total superior a 3,5t”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. Manteve, porém, a disposição referente aos veículos dotados exclusivamente de banco dianteiro e nos casos de a quantidade de crianças for superior à capacidade de lotação do banco traseiro onde, como antes explicitado, o de maior estatura irá para o banco dianteiro. Ressalta-se que a disposição referente aos veículos isentos da aplicação da resolução é alvo de inquérito civil público instaurado pelo Ministério Público Federal de São Paulo, que cobra explicações do CONTRAN sobre essas exceções</w:t>
      </w:r>
      <w:bookmarkStart w:id="3" w:name="_ednref4"/>
      <w:r w:rsidRPr="00EF5F83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"http://www.jurisway.org.br/v2/dhall.asp?id_dh=4203" \l "_edn4" \o "" \t "_blank" </w:instrTex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EF5F83">
        <w:rPr>
          <w:rFonts w:ascii="Arial" w:eastAsia="Times New Roman" w:hAnsi="Arial" w:cs="Arial"/>
          <w:sz w:val="24"/>
          <w:szCs w:val="24"/>
          <w:u w:val="single"/>
          <w:lang w:eastAsia="pt-BR"/>
        </w:rPr>
        <w:t>[4]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3"/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           Ainda no caso dos veículos, a Norma diz que: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Nos veículos equipados com dispositivo suplementar de retenção (</w:t>
      </w:r>
      <w:r w:rsidRPr="00EF5F83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airbag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), para o passageiro do banco dianteiro, o transporte de crianças com até dez anos de idade neste banco, conforme disposto no Artigo 2º e seu parágrafo, poderá ser realizado desde que utilizado o dispositivo de retenção adequado ao seu peso e altura e observados os seguintes requisitos: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 – É vedado o transporte de crianças com até sete anos e meio de idade, em dispositivo de retenção posicionado em sentido contrário ao da marcha do veículo.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II – É permitido o transporte de crianças com até sete anos e meio de idade, em dispositivo de retenção posicionado no sentido de marcha do veículo, desde que não possua bandeja, ou acessório equivalente, incorporado ao dispositivo de retenção;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III - Salvo instruções específicas do fabricante do veículo, o banco do passageiro dotado de airbag deverá ser ajustado em sua última posição de recuo, quando ocorrer o transporte de crianças neste banco.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            Isto é, nos veículos com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air bag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no banco dianteiro, quando a criança tiver de ser transportada neste, seja por não possuir banco traseiro, seja por ter mais crianças no banco de trás (a de maior estatura irá no banco da frente), o transporte não pode ser feito com a criança posicionada em sentido contrário ao da marcha do veículo (virada para trás, como em certos casos de utilização da cadeirinha ou do bebê-conforto) e o banco deverá ser posicionado na posição mais à retaguarda possível. 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            No que tange ao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dispositivo de retenção para crianças,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o anexo da resolução traz três espécies aplicáveis conforme o caso: </w:t>
      </w:r>
    </w:p>
    <w:p w:rsidR="00EF5F83" w:rsidRPr="00EF5F83" w:rsidRDefault="00EF5F83" w:rsidP="00EF5F83">
      <w:pPr>
        <w:spacing w:after="0" w:line="240" w:lineRule="auto"/>
        <w:ind w:left="720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1      – As crianças com até um ano de idade deverão utilizar, </w:t>
      </w:r>
      <w:r w:rsidRPr="00EF5F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obrigatoriamente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, o dispositivo de retenção denominado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bebê conforto ou conversível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”;</w:t>
      </w:r>
    </w:p>
    <w:p w:rsidR="00EF5F83" w:rsidRPr="00EF5F83" w:rsidRDefault="00EF5F83" w:rsidP="00EF5F83">
      <w:pPr>
        <w:spacing w:after="0" w:line="240" w:lineRule="auto"/>
        <w:ind w:left="70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2    – As crianças com idade superior a um ano e inferior ou igual a quatro anos deverão utilizar, </w:t>
      </w:r>
      <w:r w:rsidRPr="00EF5F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obrigatoriamente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, o dispositivo de retenção denominado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cadeirinha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”;</w:t>
      </w:r>
    </w:p>
    <w:p w:rsidR="00EF5F83" w:rsidRPr="00EF5F83" w:rsidRDefault="00EF5F83" w:rsidP="00EF5F83">
      <w:pPr>
        <w:spacing w:after="0" w:line="240" w:lineRule="auto"/>
        <w:ind w:left="709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     3   – As crianças com idade superior a quatro anos e inferior ou igual a sete anos e meio deverão utilizar o dispositivo de retenção denominado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assento de elevação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”.</w:t>
      </w:r>
    </w:p>
    <w:p w:rsidR="00EF5F83" w:rsidRPr="00EF5F83" w:rsidRDefault="00EF5F83" w:rsidP="00EF5F83">
      <w:pPr>
        <w:spacing w:after="0" w:line="240" w:lineRule="auto"/>
        <w:ind w:left="720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E por fim: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As crianças com idade superior a sete anos e meio e inferior ou igual a dez anos deverão utilizar o cinto de segurança do veículo”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            Em uma análise mais detalhada verifica-se que no caso dos itens 1 e 2 (crianças até um ano de idade e crianças com idade superior a um e inferior a quatro anos, respectivamente), a Resolução estabelece a </w:t>
      </w:r>
      <w:r w:rsidRPr="00EF5F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obrigatoriedade  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da utilização do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bebê conforto ou conversível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” ou da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cadeirinha”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conforme o caso. Todavia, quando a Norma se refere ao uso do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assento de elevação” 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(item 3) para aquelas crianças com idade superior a quatro anos e inferior ou igual a sete anos e meio, não está estipulada a obrigatoriedade do uso de tal dispositivo. 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            O art. 9º -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O não cumprimento do disposto nesta Resolução sujeitará os infratores às penalidades prevista no art. 168 do CTB 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traz a obrigatoriedade de obediência à referida norma legal. O artigo 168 do CTB reza que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transportar crianças em veículo automotor sem observância das normas de segurança especiais estabelecidas neste Código: infração – gravíssima; penalidade – multa; medida administrativa – retenção do veículo até que a irregularidade seja sanada. 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O ASSENTO DE ELEVAÇÃO</w:t>
      </w:r>
    </w:p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360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A polêmica que tem causado a interpretação dessa Resolução, haja vista sua má redação, se refere ao nº 3 de seu anexo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: </w:t>
      </w:r>
      <w:r w:rsidRPr="00EF5F83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as crianças com idade superior a quatro anos e inferior ou igual a sete anos e meio deverão utilizar o dispositivo de retenção denominado “assento de elevação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”, por três motivos: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1068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a)     a figura que ilustra o nº 3 do anexo da resolução traz um cinto de segurança do tipo “três pontos”, dispositivo inexistente no banco traseiro de boa parte da frota de veículos do 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país, seja nos veículos mais antigos seja nos modelos mais “populares”;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1068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b)    o nº 3 do anexo da resolução, diferentemente do previsto no nº. 1 e 2, não traz a palavra “</w:t>
      </w:r>
      <w:r w:rsidRPr="00EF5F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obrigatoriamente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”, o que leva a entender que a obrigatoriedade da utilização do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assento de elevação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”  dar-se-á apenas para o caso de veículos dotados de cinto de segurança do tipo “três pontos” no banco onde será usado esse assento; 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1068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c)      o próprio fabricante dos dispositivos tipo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assento de elevação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” PROÍBE, expressamente, o uso desse assento em conjunto com o cinto de segurança tipo “abdominal”. 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Em uma leitura superficial, entende-se que a resolução regulamentou o transporte de crianças em veículos automotores da seguinte forma: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crianças até um ano devem utilizar o bebê-conforto; crianças com idade superior a um e inferior ou igual a quatro anos necessitam utilizar a cadeirinha; e crianças com idade superior a quatro e inferior ou igual a sete anos e meio precisam utilizar o assento de elevação. 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O que for diferente disso estará sujeito às sanções previstas no art. 168 do Código, quais sejam: multa gravíssima (sete pontos na carteira) e retenção do veículo até sanar a irregularidade.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Entretanto, ao realizar-se uma análise mais acurada, verifica-se que o CONTRAN não explicitou como serão transportadas as crianças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com idade superior a quatro anos e inferior ou igual a sete anos e meio, </w:t>
      </w:r>
      <w:r w:rsidRPr="00EF5F83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n</w:t>
      </w:r>
      <w:r w:rsidRPr="00EF5F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os veículos automotores que possuem cintos de segurança tipo abdominal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, atendo-se apenas àqueles veículos dotados de cinto de segurança tipo três pontos. Em uma visão teleológica do assunto conclui-se que a finalidade do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assento de elevação”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é, pois, a “elevação” do corpo pequeno da criança, de modo que, em caso de rápida desaceleração do veículo, seja por freada, seja por choque ou qualquer outro fator, é evitar que o cinto de segurança tipo “três pontos” cause lesão no pescoço da criança. Este raciocínio faz com que se conclua desnecessária a utilização do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assento de elevação”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em veículos dotados de cinto de segurança tipo abdominal, aliás, como já afirmamos, informação veiculada pelo próprio fabricante do produto.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CONSIDERAÇÕES FINAIS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Conclui-se que a obrigatoriedade de utilização do dispositivo tipo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assento de elevação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” (para crianças com idade superior a quatro e inferior ou igual a sete anos e meio) está atrelada somente àqueles veículos que 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possuem cinto de segurança do tipo “três pontos” e somente nessas condições se torna exigível. Para os veículos que possuem cinto de segurança do tipo “abdominal” e que estiverem transportando criança com a idade acima citada, a obrigatoriedade é de que tal infante esteja seguro pelo cinto de segurança do veículo.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O objetivo da resolução é o de regulamentar (especificar, detalhar, esmiuçar, pormenorizar), no presente caso, os artigos 64 e 65 do Código de Trânsito Brasileiro. Ao realizar essa tarefa que lhe é afeta, o Conselho Nacional de Trânsito o fez de maneira imperfeita, lacunosa e as conseqüências são desastrosas: consumidores acorrendo às lojas para a compra dos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dispositivos de retenção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tendo de enfrentar filas de espera, em virtude da falta do produto; a falta de detalhamento da Norma deixa a entender casos em que, na verdade, a utilização do 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assento de elevação 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>não se faz exigível (nos veículos dotados de cinto de segurança tipo abdominal); o preço de tais dispositivos  aumentou consideravelmente (cerca de mais de 100% em pouco menos de três anos); a resolução, no caso do “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assento de elevação”</w:t>
      </w: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 só contempla veículos equipados com cinto de segurança do tipo três pontos e não traz maiores detalhamentos a cerca de veículos dotados com cintos de segurança do tipo abdominal.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 xml:space="preserve">A ampla divulgação da mídia, que se ateve ao dispositivo superficial da Norma, em muito colaborou para a interpretação errônea da resolução, como exemplifica notícia veiculada no site de um dos maiores conglomerados jornalísticos do país: 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“Contran adia para 1º de setembro início da exigência da cadeirinha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Uso do dispositivo em automóveis iria ser obrigatório a partir de quarta (9). Órgão mudou data por causa da falta de cadeirinhas nas lojas.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uso dos dispositivos de retenção para transporte de crianças nos automóveis passaria a ser obrigatório a partir desta quarta em todo o país. A punição definida pelo Contran é de multa de R$ 191,54 e sete pontos na Carteira Nacional de Habilitação (CNH).</w:t>
      </w:r>
    </w:p>
    <w:p w:rsidR="00EF5F83" w:rsidRPr="00EF5F83" w:rsidRDefault="00EF5F83" w:rsidP="00EF5F83">
      <w:pPr>
        <w:spacing w:after="0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Pelas novas regras, bebês de até um ano devem usar bebê conforto no banco de trás. Para crianças entre um e 4 anos, será obrigatória cadeirinha no banco de trás. </w:t>
      </w:r>
      <w:r w:rsidRPr="00EF5F83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De 4 a 7 anos e meio, as crianças devem ser transportadas em assento de elevação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 sem encosto, no banco de trás, com cinto de segurança. De 7 anos e meio a 10 anos, é preciso estar no banco de trás com cinto”</w:t>
      </w:r>
      <w:bookmarkStart w:id="4" w:name="_ednref5"/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begin"/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instrText xml:space="preserve"> HYPERLINK "http://www.jurisway.org.br/v2/dhall.asp?id_dh=4203" \l "_edn5" \o "" \t "_blank" </w:instrTex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separate"/>
      </w:r>
      <w:r w:rsidRPr="00EF5F8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[5]</w:t>
      </w:r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end"/>
      </w:r>
      <w:bookmarkEnd w:id="4"/>
      <w:r w:rsidRPr="00EF5F8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left="2835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 fiscalização da resolução em comento, que tinha data de início para 09 de junho, foi adiada para 1º de setembro.  Com isso, espera-se que o CONTRAN modifique a referida Norma para detalhá-la de forma a não induzir os consumidores ao erro.</w:t>
      </w:r>
    </w:p>
    <w:p w:rsidR="00EF5F83" w:rsidRPr="00EF5F83" w:rsidRDefault="00EF5F83" w:rsidP="00EF5F83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</w:p>
    <w:p w:rsidR="00EF5F83" w:rsidRPr="00EF5F83" w:rsidRDefault="00EF5F83" w:rsidP="00EF5F83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5F83">
        <w:rPr>
          <w:rFonts w:ascii="Arial" w:eastAsia="Times New Roman" w:hAnsi="Arial" w:cs="Arial"/>
          <w:sz w:val="24"/>
          <w:szCs w:val="24"/>
          <w:lang w:eastAsia="pt-BR"/>
        </w:rPr>
        <w:pict>
          <v:rect id="_x0000_i1052" style="width:140.3pt;height:.75pt" o:hrpct="330" o:hrstd="t" o:hr="t" fillcolor="#a0a0a0" stroked="f"/>
        </w:pict>
      </w:r>
    </w:p>
    <w:bookmarkStart w:id="5" w:name="_edn1"/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begin"/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instrText xml:space="preserve"> HYPERLINK "http://www.jurisway.org.br/v2/dhall.asp?id_dh=4203" \l "_ednref1" \o "" \t "_blank" </w:instrText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F5F83">
        <w:rPr>
          <w:rFonts w:ascii="Arial" w:eastAsia="Times New Roman" w:hAnsi="Arial" w:cs="Arial"/>
          <w:sz w:val="18"/>
          <w:szCs w:val="18"/>
          <w:u w:val="single"/>
          <w:lang w:eastAsia="pt-BR"/>
        </w:rPr>
        <w:t>[1]</w:t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5"/>
      <w:r w:rsidRPr="00EF5F83">
        <w:rPr>
          <w:rFonts w:ascii="Arial" w:eastAsia="Times New Roman" w:hAnsi="Arial" w:cs="Arial"/>
          <w:sz w:val="18"/>
          <w:szCs w:val="18"/>
          <w:lang w:eastAsia="pt-BR"/>
        </w:rPr>
        <w:t xml:space="preserve"> Policial rodoviário federal. Especialista em Direito público e em Direito penal e processual penal.</w:t>
      </w:r>
    </w:p>
    <w:bookmarkStart w:id="6" w:name="_edn2"/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begin"/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instrText xml:space="preserve"> HYPERLINK "http://www.jurisway.org.br/v2/dhall.asp?id_dh=4203" \l "_ednref2" \o "" \t "_blank" </w:instrText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F5F83">
        <w:rPr>
          <w:rFonts w:ascii="Arial" w:eastAsia="Times New Roman" w:hAnsi="Arial" w:cs="Arial"/>
          <w:sz w:val="18"/>
          <w:szCs w:val="18"/>
          <w:u w:val="single"/>
          <w:lang w:eastAsia="pt-BR"/>
        </w:rPr>
        <w:t>[2]</w:t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6"/>
      <w:r w:rsidRPr="00EF5F83">
        <w:rPr>
          <w:rFonts w:ascii="Arial" w:eastAsia="Times New Roman" w:hAnsi="Arial" w:cs="Arial"/>
          <w:sz w:val="18"/>
          <w:szCs w:val="18"/>
          <w:lang w:eastAsia="pt-BR"/>
        </w:rPr>
        <w:t xml:space="preserve"> RIZZARDO, Arnaldo. Comentários ao Código de Trânsito Brasileiro. 3ª ed. São Paulo: Editora Revista dos Tribunais, 2001.  </w:t>
      </w:r>
    </w:p>
    <w:bookmarkStart w:id="7" w:name="_edn3"/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begin"/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instrText xml:space="preserve"> HYPERLINK "http://www.jurisway.org.br/v2/dhall.asp?id_dh=4203" \l "_ednref3" \o "" \t "_blank" </w:instrText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F5F83">
        <w:rPr>
          <w:rFonts w:ascii="Arial" w:eastAsia="Times New Roman" w:hAnsi="Arial" w:cs="Arial"/>
          <w:sz w:val="18"/>
          <w:szCs w:val="18"/>
          <w:u w:val="single"/>
          <w:lang w:eastAsia="pt-BR"/>
        </w:rPr>
        <w:t>[3]</w:t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7"/>
      <w:r w:rsidRPr="00EF5F83">
        <w:rPr>
          <w:rFonts w:ascii="Arial" w:eastAsia="Times New Roman" w:hAnsi="Arial" w:cs="Arial"/>
          <w:sz w:val="18"/>
          <w:szCs w:val="18"/>
          <w:lang w:eastAsia="pt-BR"/>
        </w:rPr>
        <w:t xml:space="preserve"> Resolução nº 277 CONTRAN, de 28 de maio de 2008. Disponível em: </w:t>
      </w:r>
      <w:hyperlink r:id="rId6" w:tgtFrame="_blank" w:history="1">
        <w:r w:rsidRPr="00EF5F83">
          <w:rPr>
            <w:rFonts w:ascii="Arial" w:eastAsia="Times New Roman" w:hAnsi="Arial" w:cs="Arial"/>
            <w:sz w:val="18"/>
            <w:szCs w:val="18"/>
            <w:u w:val="single"/>
            <w:lang w:eastAsia="pt-BR"/>
          </w:rPr>
          <w:t>http://www.denatran.gov.br/download/Resolucoes/RESOLUCAO_CONTRAN_277.pdf</w:t>
        </w:r>
      </w:hyperlink>
      <w:r w:rsidRPr="00EF5F83">
        <w:rPr>
          <w:rFonts w:ascii="Arial" w:eastAsia="Times New Roman" w:hAnsi="Arial" w:cs="Arial"/>
          <w:sz w:val="18"/>
          <w:szCs w:val="18"/>
          <w:lang w:eastAsia="pt-BR"/>
        </w:rPr>
        <w:t xml:space="preserve"> Acessado em 04 jun 2010.</w:t>
      </w:r>
    </w:p>
    <w:bookmarkStart w:id="8" w:name="_edn4"/>
    <w:p w:rsidR="00EF5F83" w:rsidRPr="00EF5F83" w:rsidRDefault="00EF5F83" w:rsidP="00EF5F83">
      <w:pPr>
        <w:spacing w:before="100" w:beforeAutospacing="1" w:after="0" w:line="240" w:lineRule="auto"/>
        <w:ind w:firstLine="170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begin"/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instrText xml:space="preserve"> HYPERLINK "http://www.jurisway.org.br/v2/dhall.asp?id_dh=4203" \l "_ednref4" \o "" \t "_blank" </w:instrText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F5F83">
        <w:rPr>
          <w:rFonts w:ascii="Arial" w:eastAsia="Times New Roman" w:hAnsi="Arial" w:cs="Arial"/>
          <w:sz w:val="18"/>
          <w:szCs w:val="18"/>
          <w:u w:val="single"/>
          <w:lang w:eastAsia="pt-BR"/>
        </w:rPr>
        <w:t>[4]</w:t>
      </w:r>
      <w:r w:rsidRPr="00EF5F83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8"/>
      <w:r w:rsidRPr="00EF5F83">
        <w:rPr>
          <w:rFonts w:ascii="Arial" w:eastAsia="Times New Roman" w:hAnsi="Arial" w:cs="Arial"/>
          <w:sz w:val="18"/>
          <w:szCs w:val="18"/>
          <w:lang w:eastAsia="pt-BR"/>
        </w:rPr>
        <w:t xml:space="preserve"> MPF/SP instaura inquérito para apurar falhas em norma do Contran sobre o uso de cadeirinhas. Inquérito Civil Público nº 1.34.001.005339/2010-39. Disponível em: </w:t>
      </w:r>
      <w:hyperlink r:id="rId7" w:tgtFrame="_blank" w:history="1">
        <w:r w:rsidRPr="00EF5F83">
          <w:rPr>
            <w:rFonts w:ascii="Arial" w:eastAsia="Times New Roman" w:hAnsi="Arial" w:cs="Arial"/>
            <w:sz w:val="18"/>
            <w:szCs w:val="18"/>
            <w:u w:val="single"/>
            <w:lang w:eastAsia="pt-BR"/>
          </w:rPr>
          <w:t>http://noticias.pgr.mpf.gov.br/noticias/noticias-do-site/copy_of_direitos-do-cidadao/08-06-10-mpf-instaura-inquerito-para-apurar-falhas-em-norma-do-contran-sobre-o-uso-de-cadeirinhas</w:t>
        </w:r>
      </w:hyperlink>
      <w:r w:rsidRPr="00EF5F83">
        <w:rPr>
          <w:rFonts w:ascii="Arial" w:eastAsia="Times New Roman" w:hAnsi="Arial" w:cs="Arial"/>
          <w:sz w:val="18"/>
          <w:szCs w:val="18"/>
          <w:lang w:eastAsia="pt-BR"/>
        </w:rPr>
        <w:t xml:space="preserve"> Acesso em 05 jun 2010. </w:t>
      </w:r>
    </w:p>
    <w:bookmarkStart w:id="9" w:name="_edn5"/>
    <w:p w:rsidR="00EF5F83" w:rsidRPr="00EF5F83" w:rsidRDefault="00EF5F83" w:rsidP="00EF5F83">
      <w:pPr>
        <w:spacing w:after="0" w:line="240" w:lineRule="auto"/>
        <w:ind w:firstLine="1701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pt-BR"/>
        </w:rPr>
      </w:pPr>
      <w:r w:rsidRPr="00EF5F83">
        <w:rPr>
          <w:rFonts w:ascii="Arial" w:eastAsia="Times New Roman" w:hAnsi="Arial" w:cs="Arial"/>
          <w:bCs/>
          <w:kern w:val="36"/>
          <w:sz w:val="18"/>
          <w:szCs w:val="18"/>
          <w:lang w:eastAsia="pt-BR"/>
        </w:rPr>
        <w:fldChar w:fldCharType="begin"/>
      </w:r>
      <w:r w:rsidRPr="00EF5F83">
        <w:rPr>
          <w:rFonts w:ascii="Arial" w:eastAsia="Times New Roman" w:hAnsi="Arial" w:cs="Arial"/>
          <w:bCs/>
          <w:kern w:val="36"/>
          <w:sz w:val="18"/>
          <w:szCs w:val="18"/>
          <w:lang w:eastAsia="pt-BR"/>
        </w:rPr>
        <w:instrText xml:space="preserve"> HYPERLINK "http://www.jurisway.org.br/v2/dhall.asp?id_dh=4203" \l "_ednref5" \o "" \t "_blank" </w:instrText>
      </w:r>
      <w:r w:rsidRPr="00EF5F83">
        <w:rPr>
          <w:rFonts w:ascii="Arial" w:eastAsia="Times New Roman" w:hAnsi="Arial" w:cs="Arial"/>
          <w:bCs/>
          <w:kern w:val="36"/>
          <w:sz w:val="18"/>
          <w:szCs w:val="18"/>
          <w:lang w:eastAsia="pt-BR"/>
        </w:rPr>
        <w:fldChar w:fldCharType="separate"/>
      </w:r>
      <w:r w:rsidRPr="00EF5F83">
        <w:rPr>
          <w:rFonts w:ascii="Arial" w:eastAsia="Times New Roman" w:hAnsi="Arial" w:cs="Arial"/>
          <w:bCs/>
          <w:kern w:val="36"/>
          <w:sz w:val="18"/>
          <w:szCs w:val="18"/>
          <w:u w:val="single"/>
          <w:lang w:eastAsia="pt-BR"/>
        </w:rPr>
        <w:t>[5]</w:t>
      </w:r>
      <w:r w:rsidRPr="00EF5F83">
        <w:rPr>
          <w:rFonts w:ascii="Arial" w:eastAsia="Times New Roman" w:hAnsi="Arial" w:cs="Arial"/>
          <w:bCs/>
          <w:kern w:val="36"/>
          <w:sz w:val="18"/>
          <w:szCs w:val="18"/>
          <w:lang w:eastAsia="pt-BR"/>
        </w:rPr>
        <w:fldChar w:fldCharType="end"/>
      </w:r>
      <w:bookmarkEnd w:id="9"/>
      <w:r w:rsidRPr="00EF5F83">
        <w:rPr>
          <w:rFonts w:ascii="Arial" w:eastAsia="Times New Roman" w:hAnsi="Arial" w:cs="Arial"/>
          <w:bCs/>
          <w:kern w:val="36"/>
          <w:sz w:val="18"/>
          <w:szCs w:val="18"/>
          <w:lang w:eastAsia="pt-BR"/>
        </w:rPr>
        <w:t xml:space="preserve"> Contran adia para 1º de setembro início da exigência da cadeirinha. Auto Esporte, G1. Globo. Disponível em: </w:t>
      </w:r>
      <w:hyperlink r:id="rId8" w:tgtFrame="_blank" w:history="1">
        <w:r w:rsidRPr="00EF5F83">
          <w:rPr>
            <w:rFonts w:ascii="Arial" w:eastAsia="Times New Roman" w:hAnsi="Arial" w:cs="Arial"/>
            <w:bCs/>
            <w:kern w:val="36"/>
            <w:sz w:val="18"/>
            <w:szCs w:val="18"/>
            <w:u w:val="single"/>
            <w:lang w:eastAsia="pt-BR"/>
          </w:rPr>
          <w:t>http://g1.globo.com/carros/noticia/2010/06/contran-adia-para-1-de-setembro-inicio-da-exigencia-da-cadeirinha.html</w:t>
        </w:r>
      </w:hyperlink>
      <w:r w:rsidRPr="00EF5F83">
        <w:rPr>
          <w:rFonts w:ascii="Arial" w:eastAsia="Times New Roman" w:hAnsi="Arial" w:cs="Arial"/>
          <w:bCs/>
          <w:kern w:val="36"/>
          <w:sz w:val="18"/>
          <w:szCs w:val="18"/>
          <w:lang w:eastAsia="pt-BR"/>
        </w:rPr>
        <w:t>  Acessado em 08 jun 2010.</w:t>
      </w:r>
    </w:p>
    <w:p w:rsidR="00EF5F83" w:rsidRPr="00EF5F83" w:rsidRDefault="00EF5F83" w:rsidP="00EF5F83">
      <w:pPr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5F83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EF5F83" w:rsidRPr="00EF5F83" w:rsidRDefault="00EF5F83" w:rsidP="00EF5F83">
      <w:pPr>
        <w:ind w:firstLine="1701"/>
        <w:jc w:val="both"/>
        <w:rPr>
          <w:rFonts w:ascii="Arial" w:hAnsi="Arial" w:cs="Arial"/>
          <w:sz w:val="24"/>
          <w:szCs w:val="24"/>
        </w:rPr>
      </w:pPr>
    </w:p>
    <w:sectPr w:rsidR="00EF5F83" w:rsidRPr="00EF5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83" w:rsidRDefault="00EF5F83" w:rsidP="00EF5F83">
      <w:pPr>
        <w:spacing w:after="0" w:line="240" w:lineRule="auto"/>
      </w:pPr>
      <w:r>
        <w:separator/>
      </w:r>
    </w:p>
  </w:endnote>
  <w:endnote w:type="continuationSeparator" w:id="0">
    <w:p w:rsidR="00EF5F83" w:rsidRDefault="00EF5F83" w:rsidP="00EF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83" w:rsidRDefault="00EF5F83" w:rsidP="00EF5F83">
      <w:pPr>
        <w:spacing w:after="0" w:line="240" w:lineRule="auto"/>
      </w:pPr>
      <w:r>
        <w:separator/>
      </w:r>
    </w:p>
  </w:footnote>
  <w:footnote w:type="continuationSeparator" w:id="0">
    <w:p w:rsidR="00EF5F83" w:rsidRDefault="00EF5F83" w:rsidP="00EF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F83"/>
    <w:rsid w:val="00E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F5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F5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5F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F5F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EF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F5F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F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EF5F83"/>
  </w:style>
  <w:style w:type="character" w:styleId="nfase">
    <w:name w:val="Emphasis"/>
    <w:basedOn w:val="Fontepargpadro"/>
    <w:uiPriority w:val="20"/>
    <w:qFormat/>
    <w:rsid w:val="00EF5F83"/>
    <w:rPr>
      <w:i/>
      <w:iCs/>
    </w:rPr>
  </w:style>
  <w:style w:type="character" w:styleId="Forte">
    <w:name w:val="Strong"/>
    <w:basedOn w:val="Fontepargpadro"/>
    <w:uiPriority w:val="22"/>
    <w:qFormat/>
    <w:rsid w:val="00EF5F83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F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F5F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F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F5F8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F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F5F8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F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5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5F83"/>
  </w:style>
  <w:style w:type="paragraph" w:styleId="Rodap">
    <w:name w:val="footer"/>
    <w:basedOn w:val="Normal"/>
    <w:link w:val="RodapChar"/>
    <w:uiPriority w:val="99"/>
    <w:semiHidden/>
    <w:unhideWhenUsed/>
    <w:rsid w:val="00EF5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5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292">
              <w:marLeft w:val="0"/>
              <w:marRight w:val="0"/>
              <w:marTop w:val="0"/>
              <w:marBottom w:val="0"/>
              <w:divBdr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</w:divBdr>
            </w:div>
            <w:div w:id="6492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43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15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  <w:div w:id="789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20144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008000"/>
                                    <w:left w:val="single" w:sz="2" w:space="4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  <w:divsChild>
                                    <w:div w:id="102479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00080"/>
                                                <w:left w:val="single" w:sz="2" w:space="0" w:color="800080"/>
                                                <w:bottom w:val="single" w:sz="2" w:space="0" w:color="800080"/>
                                                <w:right w:val="single" w:sz="2" w:space="0" w:color="800080"/>
                                              </w:divBdr>
                                            </w:div>
                                            <w:div w:id="1707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8000"/>
                                                    <w:left w:val="single" w:sz="2" w:space="15" w:color="008000"/>
                                                    <w:bottom w:val="single" w:sz="2" w:space="0" w:color="008000"/>
                                                    <w:right w:val="single" w:sz="2" w:space="0" w:color="008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46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2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1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44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0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69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8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10414">
                                          <w:marLeft w:val="300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single" w:sz="6" w:space="6" w:color="D6D6DA"/>
                                            <w:left w:val="single" w:sz="6" w:space="6" w:color="D6D6DA"/>
                                            <w:bottom w:val="single" w:sz="6" w:space="6" w:color="D6D6DA"/>
                                            <w:right w:val="single" w:sz="6" w:space="6" w:color="D6D6D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0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10296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59016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8000"/>
                                            <w:left w:val="single" w:sz="2" w:space="0" w:color="008000"/>
                                            <w:bottom w:val="single" w:sz="2" w:space="0" w:color="008000"/>
                                            <w:right w:val="single" w:sz="2" w:space="0" w:color="008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5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83671">
          <w:marLeft w:val="0"/>
          <w:marRight w:val="0"/>
          <w:marTop w:val="0"/>
          <w:marBottom w:val="0"/>
          <w:divBdr>
            <w:top w:val="single" w:sz="6" w:space="4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carros/noticia/2010/06/contran-adia-para-1-de-setembro-inicio-da-exigencia-da-cadeirinh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ticias.pgr.mpf.gov.br/noticias/noticias-do-site/copy_of_direitos-do-cidadao/08-06-10-mpf-instaura-inquerito-para-apurar-falhas-em-norma-do-contran-sobre-o-uso-de-cadeirinh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natran.gov.br/download/Resolucoes/RESOLUCAO_CONTRAN_27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2836</Words>
  <Characters>15319</Characters>
  <Application>Microsoft Office Word</Application>
  <DocSecurity>0</DocSecurity>
  <Lines>127</Lines>
  <Paragraphs>36</Paragraphs>
  <ScaleCrop>false</ScaleCrop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11103413</dc:creator>
  <cp:lastModifiedBy>11103413</cp:lastModifiedBy>
  <cp:revision>1</cp:revision>
  <dcterms:created xsi:type="dcterms:W3CDTF">2012-04-27T21:08:00Z</dcterms:created>
  <dcterms:modified xsi:type="dcterms:W3CDTF">2012-04-27T21:14:00Z</dcterms:modified>
</cp:coreProperties>
</file>