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F" w:rsidRPr="008D6F6F" w:rsidRDefault="008D6F6F" w:rsidP="008D6F6F">
      <w:pPr>
        <w:spacing w:after="120" w:line="264" w:lineRule="atLeast"/>
        <w:ind w:firstLine="1701"/>
        <w:jc w:val="both"/>
        <w:outlineLvl w:val="0"/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pt-BR"/>
        </w:rPr>
        <w:t xml:space="preserve">Considerações sobre o reconhecimento das uniões </w:t>
      </w:r>
      <w:proofErr w:type="spellStart"/>
      <w:r w:rsidRPr="008D6F6F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pt-BR"/>
        </w:rPr>
        <w:t>homoafetivas</w:t>
      </w:r>
      <w:proofErr w:type="spellEnd"/>
      <w:r w:rsidRPr="008D6F6F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pt-BR"/>
        </w:rPr>
        <w:t xml:space="preserve"> como entidade familiar pelo Supremo Tribunal Federal</w:t>
      </w:r>
    </w:p>
    <w:p w:rsidR="008D6F6F" w:rsidRPr="008D6F6F" w:rsidRDefault="008D6F6F" w:rsidP="008D6F6F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pict>
          <v:rect id="_x0000_i1025" style="width:457.5pt;height:.75pt" o:hrpct="0" o:hrstd="t" o:hrnoshade="t" o:hr="t" fillcolor="#ddd" stroked="f"/>
        </w:pict>
      </w:r>
    </w:p>
    <w:p w:rsidR="008D6F6F" w:rsidRPr="008D6F6F" w:rsidRDefault="008D6F6F" w:rsidP="008D6F6F">
      <w:pPr>
        <w:spacing w:after="150" w:line="360" w:lineRule="atLeast"/>
        <w:ind w:firstLine="170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18/</w:t>
      </w:r>
      <w:proofErr w:type="spellStart"/>
      <w:r w:rsidRPr="008D6F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ago</w:t>
      </w:r>
      <w:proofErr w:type="spellEnd"/>
      <w:r w:rsidRPr="008D6F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/2011</w:t>
      </w:r>
    </w:p>
    <w:p w:rsidR="008D6F6F" w:rsidRPr="008D6F6F" w:rsidRDefault="008D6F6F" w:rsidP="008D6F6F">
      <w:pPr>
        <w:spacing w:before="312" w:after="312" w:line="336" w:lineRule="atLeast"/>
        <w:ind w:firstLine="1701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 decisão que equiparou uniões </w:t>
      </w:r>
      <w:proofErr w:type="spellStart"/>
      <w:r w:rsidRPr="008D6F6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homoafetivas</w:t>
      </w:r>
      <w:proofErr w:type="spellEnd"/>
      <w:r w:rsidRPr="008D6F6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às uniões estáveis, não apenas firmou esse entendimento, como também assegurou que em um Estado Democrático de Direito não há espaço para a marginalização de cidadãos, quaisquer que sejam os motivos.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Por </w:t>
      </w:r>
      <w:hyperlink r:id="rId5" w:history="1">
        <w:r w:rsidRPr="008D6F6F">
          <w:rPr>
            <w:rFonts w:ascii="Arial" w:eastAsia="Times New Roman" w:hAnsi="Arial" w:cs="Arial"/>
            <w:b/>
            <w:bCs/>
            <w:i/>
            <w:iCs/>
            <w:sz w:val="24"/>
            <w:szCs w:val="24"/>
            <w:bdr w:val="none" w:sz="0" w:space="0" w:color="auto" w:frame="1"/>
            <w:lang w:eastAsia="pt-BR"/>
          </w:rPr>
          <w:t>Vivian Ribeiro Navarro Corrêa</w:t>
        </w:r>
      </w:hyperlink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O julgamento realizado nos dias 04 e 05 de maio no Supremo Tribunal Federal entrará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para a história de nosso País como um marco na luta contra a discriminação e o preconceito aos cidadãos homossexuais. Os Ministros do referido Tribunal mostraram conhecimento técnico e sabedoria na análise do pedido, demonstrando que o Judiciário não pode se afastar do exame da questão, e que a vinculação entre Estado e Religião é inconcebível em um Estado de Direito.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De fato, a decisão que equiparou uniões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homoafetivas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às uniões estáveis, não apenas firmou esse entendimento, como também assegurou que em um Estado Democrático de Direito não há espaço para a marginalização de cidadãos, quaisquer que sejam os motivos. O constitucionalismo brasileiro demonstrou ser inclusivo, evidenciando que não há categorias de cidadãos, de modo que todos devem ser respeitados e seus direitos reconhecidos, dando plena aplicabilidade ao princípio da igualdade, que, nas palavras de Luiza Cristina Fonseca Frischeisen</w:t>
      </w:r>
      <w:r w:rsidRPr="008D6F6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1</w:t>
      </w:r>
      <w:r w:rsidRPr="008D6F6F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8D6F6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implica invocar valores e um desses valores é o reconhecimento da igual dignidade de todas as pessoas, o que implicará, por seu turno, a proibição de práticas discriminatórias, que neguem direitos a quem quer que seja por alguma de suas características, quer seja o gênero, a etnia, a religião, a </w:t>
      </w:r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orientação sexual</w:t>
      </w:r>
      <w:r w:rsidRPr="008D6F6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 ou quaisquer outras. (Grifou-se)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Considerar que as uniões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homoafetivas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não merecem guarida jurídica em virtude da orientação sexual do casal envolvido, colocando-os em posição inferior às uniões entre heterossexuais, consistiria em dar tratamento distinto a semelhantes, contrariando não apenas o princípio da igualdade, mas também o da dignidade da pessoa humana e o da liberdade. A esse respeito manifestou-se o ilustre Ministro Relator Ayres Brito em seu voto: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i/>
          <w:iCs/>
          <w:sz w:val="24"/>
          <w:szCs w:val="24"/>
          <w:lang w:eastAsia="pt-BR"/>
        </w:rPr>
        <w:lastRenderedPageBreak/>
        <w:t>Prossigo para ajuizar que esse primeiro trato normativo da matéria já antecipa que </w:t>
      </w:r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o sexo das pessoas, salvo expressa disposição constitucional em contrário, não se presta como fator de </w:t>
      </w:r>
      <w:proofErr w:type="spellStart"/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desigualação</w:t>
      </w:r>
      <w:proofErr w:type="spellEnd"/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jurídica. É como dizer: o que se tem no dispositivo constitucional aqui reproduzido em nota de rodapé (inciso IV do </w:t>
      </w:r>
      <w:proofErr w:type="spellStart"/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art</w:t>
      </w:r>
      <w:proofErr w:type="spellEnd"/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3º) é a explícita vedação de tratamento discriminatório ou preconceituoso em razão do sexo dos seres humanos. Tratamento discriminatório ou </w:t>
      </w:r>
      <w:proofErr w:type="spellStart"/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desigualitário</w:t>
      </w:r>
      <w:proofErr w:type="spellEnd"/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sem causa que, se intentado pelo comum das pessoas ou pelo próprio Estado, passa a colidir frontalmente com o objetivo constitucional de “promover o bem de todos” (este o explícito objetivo que se lê no inciso em foco)</w:t>
      </w:r>
      <w:r w:rsidRPr="008D6F6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 (Grifos do original)</w:t>
      </w:r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  <w:lang w:eastAsia="pt-BR"/>
        </w:rPr>
        <w:t> </w:t>
      </w:r>
      <w:proofErr w:type="gramStart"/>
      <w:r w:rsidRPr="008D6F6F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  <w:lang w:eastAsia="pt-BR"/>
        </w:rPr>
        <w:t>2</w:t>
      </w:r>
      <w:proofErr w:type="gramEnd"/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O julgado traz grandes benefícios à sociedade brasileira, que ganha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certeza de que o Estado brasileiro não admitirá lesões a direitos ou o alijamento jurídico e social, e, ainda, fortalece o instituto da família.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Fala-se, com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freqüência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, na crise da família brasileira, e, de fato, a família nos moldes tradicionais sofreu grandes mudanças estruturais. A família, a partir do momento que passou a ser constituída em razão do afeto, permitiu alargamento de seu conceito, incluindo no bojo de sua definição famílias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formadas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apenas por um dos pais e o (a) filho (a), ou por irmãos, e, como assentou a decisão em comento, formadas por pessoas do mesmo sexo. A entidade familiar esteve em crise. Hoje, pode-se dizer que ela foi reforçada e sua importância frisada. A nova família se constrói com o afeto, sempre quando o relacionamento for duradouro, público e tiver intuito de constituir uma família, independente de orientação sexual.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>Diante disso, verifica-se que o cerne essencial para a nova família, a família hodierna, foi proclamado: amor. Como, então, poderia estar em declínio? Como podemos dizer que é uma afronta e que a entidade familiar está falida?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O julgamento e a decisão que dele se obteve trouxeram todos os argumentos jurídicos e sociais que diversos doutrinadores já haviam desenvolvido em obras sobre o tema. Todos ganharam, já que se primou, uma vez mais, pelo respeito aos direitos fundamentais e pela formação da família. Afirmou-se o quão importante é a participação do indivíduo no seio familiar para o desenvolvimento humano, e, por tabela, incentivou-se a sua formação, </w:t>
      </w:r>
      <w:r w:rsidRPr="008D6F6F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reconhecendo que todos os cidadãos, sejam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hetero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ou homossexuais, podem, sim, constituir família.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Maria Berenice Dias (2007), um dos doutrinadores citados durante o emblemático julgamento, ensina que a norma contida no artigo 226 de nossa Carta Magna é uma cláusula geral de inclusão e que se um relacionamento, embora entre pessoas do mesmo sexo, atende aos requisitos de afetividade, estabilidade e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ostensividade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, deve ser reconhecido como entidade familiar, merecendo, assim, o amparo legal e a proteção do Estado. E continua: “Como cabe ao direito regular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vida – sendo ela uma eterna busca da felicidade –, impossível não reconhecer que o afeto é um valor jurídico merecedor de tutela (...)”.</w:t>
      </w:r>
      <w:r w:rsidRPr="008D6F6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3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Por sua vez, Bertoldo Mateus de Oliveira Filho (2011) sustenta que o artigo 226 da Constituição Federal incluiu a união estável de forma não exclusivista no rol de entidades familiares, vislumbrando, então, ser juridicamente possível a aplicação dos requisitos do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companheirato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heterossexual às uniões entre pessoas do mesmo sexo, tendo em vista ser a orientação sexual uma prerrogativa da dignidade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humana.</w:t>
      </w:r>
      <w:proofErr w:type="gramEnd"/>
      <w:r w:rsidRPr="008D6F6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4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Perfilhando o mesmo entendimento, Paulo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Lôbo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(2008), esclarece que a Constituição não veda o relacionamento entre pessoas do mesmo sexo, devendo haver o reconhecimento de uniões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homoafetivas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quando preencherem os requisitos exigidos para a união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estável.</w:t>
      </w:r>
      <w:proofErr w:type="gramEnd"/>
      <w:r w:rsidRPr="008D6F6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5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>De ver-se, portanto, que a discussão não é nova e que a sociedade brasileira já ansiava por uma definição sobre os diversos pedidos para o reconhecimento das uniões entre duas pessoas do mesmo sexo.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Contudo, apesar de ter equiparado as uniões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homoafetivas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às uniões estáveis entre homem e mulher, o Supremo não quis se debruçar sobre os desdobramentos de sua decisão. Por conseguinte, ainda não há um entendimento pacificado acerca de diversas questões relacionadas a esse assunto, como, por exemplo, a possibilidade ou não de adoção pelos companheiros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homoafetivos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. E mais: os Ministros do insigne Tribunal ressaltaram a necessidade de o Poder Legislativo trazer à ordem do dia discussões e projetos que busquem regulamentar não somente de forma explícita a união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homoafetiva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>, bem como todos os direitos dela decorrentes.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Certamente, o Legislativo deverá, em algum momento, enfrentar a discussão, normatizando a união entre duas pessoas do mesmo sexo e estabelecendo os seus contornos jurídicos. Infelizmente, ao que parece, o Congresso Nacional está reticente e evita o tema por razões religiosas, como ocorreu com o Projeto de Lei 674/07, conhecido como Estatuto das Famílias, que foi aprovado em 15/12/2010 pela Câmara dos Deputados</w:t>
      </w:r>
      <w:r w:rsidRPr="008D6F6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6</w:t>
      </w: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, com a exclusão das famílias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homoafetivas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de seu texto, previstas inicialmente no Projeto de Lei 2.285/2007, de autoria do IBDFAM – Instituto Brasileiro de Direito de Família, apensado ao primeiro</w:t>
      </w:r>
      <w:r w:rsidRPr="008D6F6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7</w:t>
      </w:r>
      <w:r w:rsidRPr="008D6F6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O reconhecimento pelo Supremo Tribunal Federal das uniões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homoafetivas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como entidade familiar colocou o Brasil no rumo certo para o efetivo combate à discriminação e ao preconceito em virtude da orientação sexual, enfatizando que a dignidade da pessoa humana começa com a família e que nenhum tipo de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desigualação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infundada pode ser tolerado.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>Ainda assim, o papel do Legislativo é de extrema importância para o deslinde da matéria, de modo que até lá, estaremos navegando em mares revoltos, aguardando o farol que nos guiará para um porto justo e seguro.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1. FRISCHEISEN, Luiza Cristina Fonseca.  A construção da igualdade e o Sistema de Justiça no Brasil: Alguns caminhos e possibilidades.  Rio de Janeiro: Editora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Lumen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Juris, 2007.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>2.   Disponível em: http://www.stf.jus.br/arquivo/cms/noticiaNoticiaStf/anexo/ADI4277.pdf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3.  DIAS, Maria Berenice.  Manual de direito das famílias. 4.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ed.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rev., atual.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ampl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. 3.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tir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>.  São Paulo: Editora Revista dos Tribunais, 2007.  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p.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183 e 188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4. FILHO, Bertoldo Mateus de Oliveira.  Direito de Família: Aspectos </w:t>
      </w:r>
      <w:proofErr w:type="spell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sociojurídicos</w:t>
      </w:r>
      <w:proofErr w:type="spell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do casamento, união estável e entidades familiares. São Paulo: Atlas, 2011.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p.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139-141.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5.  LÔBO, Paulo. Famílias.  São Paulo: 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Saraiva,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 xml:space="preserve"> 2008.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6. Disponível em: http://www.camara.gov.br/internet/sileg/Prop_Detalhe.asp?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id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>=347575</w:t>
      </w:r>
    </w:p>
    <w:p w:rsidR="008D6F6F" w:rsidRPr="008D6F6F" w:rsidRDefault="008D6F6F" w:rsidP="008D6F6F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F6F">
        <w:rPr>
          <w:rFonts w:ascii="Arial" w:eastAsia="Times New Roman" w:hAnsi="Arial" w:cs="Arial"/>
          <w:sz w:val="24"/>
          <w:szCs w:val="24"/>
          <w:lang w:eastAsia="pt-BR"/>
        </w:rPr>
        <w:t>7.  Disponível em: http://www.camara.gov.br/internet/sileg/Prop_Detalhe.asp?</w:t>
      </w:r>
      <w:proofErr w:type="gramStart"/>
      <w:r w:rsidRPr="008D6F6F">
        <w:rPr>
          <w:rFonts w:ascii="Arial" w:eastAsia="Times New Roman" w:hAnsi="Arial" w:cs="Arial"/>
          <w:sz w:val="24"/>
          <w:szCs w:val="24"/>
          <w:lang w:eastAsia="pt-BR"/>
        </w:rPr>
        <w:t>id</w:t>
      </w:r>
      <w:proofErr w:type="gramEnd"/>
      <w:r w:rsidRPr="008D6F6F">
        <w:rPr>
          <w:rFonts w:ascii="Arial" w:eastAsia="Times New Roman" w:hAnsi="Arial" w:cs="Arial"/>
          <w:sz w:val="24"/>
          <w:szCs w:val="24"/>
          <w:lang w:eastAsia="pt-BR"/>
        </w:rPr>
        <w:t>=373935</w:t>
      </w:r>
    </w:p>
    <w:p w:rsidR="00853F81" w:rsidRPr="008D6F6F" w:rsidRDefault="00853F81" w:rsidP="008D6F6F">
      <w:pPr>
        <w:ind w:firstLine="1701"/>
        <w:jc w:val="both"/>
        <w:rPr>
          <w:rFonts w:ascii="Arial" w:hAnsi="Arial" w:cs="Arial"/>
          <w:sz w:val="24"/>
          <w:szCs w:val="24"/>
        </w:rPr>
      </w:pPr>
    </w:p>
    <w:sectPr w:rsidR="00853F81" w:rsidRPr="008D6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F"/>
    <w:rsid w:val="00853F81"/>
    <w:rsid w:val="008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6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6F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scricao">
    <w:name w:val="descricao"/>
    <w:basedOn w:val="Normal"/>
    <w:rsid w:val="008D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D6F6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D6F6F"/>
    <w:rPr>
      <w:b/>
      <w:bCs/>
    </w:rPr>
  </w:style>
  <w:style w:type="character" w:styleId="nfase">
    <w:name w:val="Emphasis"/>
    <w:basedOn w:val="Fontepargpadro"/>
    <w:uiPriority w:val="20"/>
    <w:qFormat/>
    <w:rsid w:val="008D6F6F"/>
    <w:rPr>
      <w:i/>
      <w:iCs/>
    </w:rPr>
  </w:style>
  <w:style w:type="character" w:customStyle="1" w:styleId="apple-converted-space">
    <w:name w:val="apple-converted-space"/>
    <w:basedOn w:val="Fontepargpadro"/>
    <w:rsid w:val="008D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6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6F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scricao">
    <w:name w:val="descricao"/>
    <w:basedOn w:val="Normal"/>
    <w:rsid w:val="008D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D6F6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D6F6F"/>
    <w:rPr>
      <w:b/>
      <w:bCs/>
    </w:rPr>
  </w:style>
  <w:style w:type="character" w:styleId="nfase">
    <w:name w:val="Emphasis"/>
    <w:basedOn w:val="Fontepargpadro"/>
    <w:uiPriority w:val="20"/>
    <w:qFormat/>
    <w:rsid w:val="008D6F6F"/>
    <w:rPr>
      <w:i/>
      <w:iCs/>
    </w:rPr>
  </w:style>
  <w:style w:type="character" w:customStyle="1" w:styleId="apple-converted-space">
    <w:name w:val="apple-converted-space"/>
    <w:basedOn w:val="Fontepargpadro"/>
    <w:rsid w:val="008D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1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6384">
          <w:marLeft w:val="300"/>
          <w:marRight w:val="0"/>
          <w:marTop w:val="0"/>
          <w:marBottom w:val="300"/>
          <w:divBdr>
            <w:top w:val="none" w:sz="0" w:space="0" w:color="auto"/>
            <w:left w:val="single" w:sz="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itonet.com.br/artigos/perfil/exibir/132531/Vivian-Ribeiro-Navarro-Corr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Duarte</dc:creator>
  <cp:lastModifiedBy>Pedro Duarte</cp:lastModifiedBy>
  <cp:revision>1</cp:revision>
  <dcterms:created xsi:type="dcterms:W3CDTF">2012-04-27T14:25:00Z</dcterms:created>
  <dcterms:modified xsi:type="dcterms:W3CDTF">2012-04-27T14:26:00Z</dcterms:modified>
</cp:coreProperties>
</file>