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2E" w:rsidRPr="00A8252E" w:rsidRDefault="00A8252E" w:rsidP="00A8252E">
      <w:pPr>
        <w:spacing w:after="120" w:line="264" w:lineRule="atLeast"/>
        <w:jc w:val="both"/>
        <w:outlineLvl w:val="0"/>
        <w:rPr>
          <w:rFonts w:ascii="Arial" w:eastAsia="Times New Roman" w:hAnsi="Arial" w:cs="Arial"/>
          <w:b/>
          <w:bCs/>
          <w:spacing w:val="-15"/>
          <w:kern w:val="36"/>
          <w:sz w:val="40"/>
          <w:szCs w:val="40"/>
          <w:lang w:eastAsia="pt-BR"/>
        </w:rPr>
      </w:pPr>
      <w:r w:rsidRPr="00A8252E">
        <w:rPr>
          <w:rFonts w:ascii="Arial" w:eastAsia="Times New Roman" w:hAnsi="Arial" w:cs="Arial"/>
          <w:b/>
          <w:bCs/>
          <w:spacing w:val="-15"/>
          <w:kern w:val="36"/>
          <w:sz w:val="40"/>
          <w:szCs w:val="40"/>
          <w:lang w:eastAsia="pt-BR"/>
        </w:rPr>
        <w:t xml:space="preserve">A decisão do STF sobre a união estável </w:t>
      </w:r>
      <w:proofErr w:type="spellStart"/>
      <w:r w:rsidRPr="00A8252E">
        <w:rPr>
          <w:rFonts w:ascii="Arial" w:eastAsia="Times New Roman" w:hAnsi="Arial" w:cs="Arial"/>
          <w:b/>
          <w:bCs/>
          <w:spacing w:val="-15"/>
          <w:kern w:val="36"/>
          <w:sz w:val="40"/>
          <w:szCs w:val="40"/>
          <w:lang w:eastAsia="pt-BR"/>
        </w:rPr>
        <w:t>homoafetiva</w:t>
      </w:r>
      <w:proofErr w:type="spellEnd"/>
      <w:r w:rsidRPr="00A8252E">
        <w:rPr>
          <w:rFonts w:ascii="Arial" w:eastAsia="Times New Roman" w:hAnsi="Arial" w:cs="Arial"/>
          <w:b/>
          <w:bCs/>
          <w:spacing w:val="-15"/>
          <w:kern w:val="36"/>
          <w:sz w:val="40"/>
          <w:szCs w:val="40"/>
          <w:lang w:eastAsia="pt-BR"/>
        </w:rPr>
        <w:t>: breve comentário</w:t>
      </w:r>
    </w:p>
    <w:p w:rsidR="00A8252E" w:rsidRPr="00A8252E" w:rsidRDefault="00A8252E" w:rsidP="00A825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252E" w:rsidRPr="00A8252E" w:rsidRDefault="00A8252E" w:rsidP="00A8252E">
      <w:pPr>
        <w:spacing w:before="312" w:after="312" w:line="336" w:lineRule="atLeast"/>
        <w:ind w:firstLine="1701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bookmarkStart w:id="0" w:name="_GoBack"/>
      <w:bookmarkEnd w:id="0"/>
      <w:r w:rsidRPr="00A8252E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Análise crítica da decisão do STF que reconheceu recentemente, por unanimidade de votos, a união estável formada por pessoas do mesmo sexo.</w:t>
      </w:r>
    </w:p>
    <w:p w:rsidR="00A8252E" w:rsidRPr="00A8252E" w:rsidRDefault="00A8252E" w:rsidP="00A8252E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252E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Por </w:t>
      </w:r>
      <w:hyperlink r:id="rId5" w:history="1">
        <w:r w:rsidRPr="00A8252E">
          <w:rPr>
            <w:rFonts w:ascii="Arial" w:eastAsia="Times New Roman" w:hAnsi="Arial" w:cs="Arial"/>
            <w:b/>
            <w:bCs/>
            <w:i/>
            <w:iCs/>
            <w:sz w:val="24"/>
            <w:szCs w:val="24"/>
            <w:bdr w:val="none" w:sz="0" w:space="0" w:color="auto" w:frame="1"/>
            <w:lang w:eastAsia="pt-BR"/>
          </w:rPr>
          <w:t xml:space="preserve">Rodrigo </w:t>
        </w:r>
        <w:proofErr w:type="spellStart"/>
        <w:r w:rsidRPr="00A8252E">
          <w:rPr>
            <w:rFonts w:ascii="Arial" w:eastAsia="Times New Roman" w:hAnsi="Arial" w:cs="Arial"/>
            <w:b/>
            <w:bCs/>
            <w:i/>
            <w:iCs/>
            <w:sz w:val="24"/>
            <w:szCs w:val="24"/>
            <w:bdr w:val="none" w:sz="0" w:space="0" w:color="auto" w:frame="1"/>
            <w:lang w:eastAsia="pt-BR"/>
          </w:rPr>
          <w:t>Lychowski</w:t>
        </w:r>
        <w:proofErr w:type="spellEnd"/>
      </w:hyperlink>
    </w:p>
    <w:p w:rsidR="00A8252E" w:rsidRPr="00A8252E" w:rsidRDefault="00A8252E" w:rsidP="00A8252E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252E">
        <w:rPr>
          <w:rFonts w:ascii="Arial" w:eastAsia="Times New Roman" w:hAnsi="Arial" w:cs="Arial"/>
          <w:sz w:val="24"/>
          <w:szCs w:val="24"/>
          <w:lang w:eastAsia="pt-BR"/>
        </w:rPr>
        <w:t>O Supremo Tribunal Federal, ao julgar conjuntamente a ADI no. 4.227 e a ADPF no. 132</w:t>
      </w:r>
      <w:proofErr w:type="gramStart"/>
      <w:r w:rsidRPr="00A8252E">
        <w:rPr>
          <w:rFonts w:ascii="Arial" w:eastAsia="Times New Roman" w:hAnsi="Arial" w:cs="Arial"/>
          <w:sz w:val="24"/>
          <w:szCs w:val="24"/>
          <w:lang w:eastAsia="pt-BR"/>
        </w:rPr>
        <w:t>, reconheceu</w:t>
      </w:r>
      <w:proofErr w:type="gramEnd"/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, através de votação unânime, a união estável </w:t>
      </w:r>
      <w:proofErr w:type="spellStart"/>
      <w:r w:rsidRPr="00A8252E">
        <w:rPr>
          <w:rFonts w:ascii="Arial" w:eastAsia="Times New Roman" w:hAnsi="Arial" w:cs="Arial"/>
          <w:sz w:val="24"/>
          <w:szCs w:val="24"/>
          <w:lang w:eastAsia="pt-BR"/>
        </w:rPr>
        <w:t>homoafetiva</w:t>
      </w:r>
      <w:proofErr w:type="spellEnd"/>
      <w:r w:rsidRPr="00A8252E">
        <w:rPr>
          <w:rFonts w:ascii="Arial" w:eastAsia="Times New Roman" w:hAnsi="Arial" w:cs="Arial"/>
          <w:sz w:val="24"/>
          <w:szCs w:val="24"/>
          <w:lang w:eastAsia="pt-BR"/>
        </w:rPr>
        <w:t>, ou seja, entre pessoas do mesmo sexo.</w:t>
      </w:r>
    </w:p>
    <w:p w:rsidR="00A8252E" w:rsidRPr="00A8252E" w:rsidRDefault="00A8252E" w:rsidP="00A8252E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Os argumentos utilizados pelo STF foram diversos, mas dois destacam-se. O primeiro é o de que não reconhecer tal união estável </w:t>
      </w:r>
      <w:proofErr w:type="spellStart"/>
      <w:r w:rsidRPr="00A8252E">
        <w:rPr>
          <w:rFonts w:ascii="Arial" w:eastAsia="Times New Roman" w:hAnsi="Arial" w:cs="Arial"/>
          <w:sz w:val="24"/>
          <w:szCs w:val="24"/>
          <w:lang w:eastAsia="pt-BR"/>
        </w:rPr>
        <w:t>homoafetiva</w:t>
      </w:r>
      <w:proofErr w:type="spellEnd"/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 importaria numa postura discriminatória, em relação à preferência sexual das pessoas, o que é vedado pela Carta Magna (artigo 3o, inciso IV).</w:t>
      </w:r>
    </w:p>
    <w:p w:rsidR="00A8252E" w:rsidRPr="00A8252E" w:rsidRDefault="00A8252E" w:rsidP="00A8252E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Outro fundamento chave utilizado foi o de dar uma interpretação ampla ao artigo 226 §3o. </w:t>
      </w:r>
      <w:proofErr w:type="gramStart"/>
      <w:r w:rsidRPr="00A8252E">
        <w:rPr>
          <w:rFonts w:ascii="Arial" w:eastAsia="Times New Roman" w:hAnsi="Arial" w:cs="Arial"/>
          <w:sz w:val="24"/>
          <w:szCs w:val="24"/>
          <w:lang w:eastAsia="pt-BR"/>
        </w:rPr>
        <w:t>da</w:t>
      </w:r>
      <w:proofErr w:type="gramEnd"/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 CF/88, que resultou no entendimento de que, quando a CF/88 disse que a união estável é formada entre homem e mulher, a Lei Maior não disse que a união estável é apenas formada entre homem e mulher, o que possibilitaria assim admitir outro tipo de união estável.</w:t>
      </w:r>
    </w:p>
    <w:p w:rsidR="00A8252E" w:rsidRPr="00A8252E" w:rsidRDefault="00A8252E" w:rsidP="00A8252E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252E">
        <w:rPr>
          <w:rFonts w:ascii="Arial" w:eastAsia="Times New Roman" w:hAnsi="Arial" w:cs="Arial"/>
          <w:sz w:val="24"/>
          <w:szCs w:val="24"/>
          <w:lang w:eastAsia="pt-BR"/>
        </w:rPr>
        <w:t>Como consequência dessa decisão proferida pelo Excelso Pretório, com efeito vinculante, deve ser dada interpretação conforme a Constituição Federal para excluir qualquer significado do artigo 1.723 do Código Civil que impeça o reconhecimento da união entre pessoas do mesmo sexo como entidade familiar.</w:t>
      </w:r>
    </w:p>
    <w:p w:rsidR="00A8252E" w:rsidRPr="00A8252E" w:rsidRDefault="00A8252E" w:rsidP="00A8252E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Assim, quando o dispositivo em comento do Código Civil estabelece que </w:t>
      </w:r>
      <w:proofErr w:type="gramStart"/>
      <w:r w:rsidRPr="00A8252E">
        <w:rPr>
          <w:rFonts w:ascii="Arial" w:eastAsia="Times New Roman" w:hAnsi="Arial" w:cs="Arial"/>
          <w:sz w:val="24"/>
          <w:szCs w:val="24"/>
          <w:lang w:eastAsia="pt-BR"/>
        </w:rPr>
        <w:t>é</w:t>
      </w:r>
      <w:proofErr w:type="gramEnd"/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 reconhecida como “ entidade familiar a união estável entre o homem e a mulher” (grifamos), doravante tal união estável deve ser admitida também entre duas pessoa do mesmo sexo.</w:t>
      </w:r>
    </w:p>
    <w:p w:rsidR="00A8252E" w:rsidRPr="00A8252E" w:rsidRDefault="00A8252E" w:rsidP="00A8252E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Não obstante </w:t>
      </w:r>
      <w:proofErr w:type="gramStart"/>
      <w:r w:rsidRPr="00A8252E">
        <w:rPr>
          <w:rFonts w:ascii="Arial" w:eastAsia="Times New Roman" w:hAnsi="Arial" w:cs="Arial"/>
          <w:sz w:val="24"/>
          <w:szCs w:val="24"/>
          <w:lang w:eastAsia="pt-BR"/>
        </w:rPr>
        <w:t>a boa acolhida que a decisão do STF recebeu da mídia, e de parcela da opinião pública brasileira, ousamos</w:t>
      </w:r>
      <w:proofErr w:type="gramEnd"/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 tecer – de forma breve e concisa – algumas críticas a essa decisão.  </w:t>
      </w:r>
    </w:p>
    <w:p w:rsidR="00A8252E" w:rsidRPr="00A8252E" w:rsidRDefault="00A8252E" w:rsidP="00A8252E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252E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Mas, </w:t>
      </w:r>
      <w:proofErr w:type="gramStart"/>
      <w:r w:rsidRPr="00A8252E">
        <w:rPr>
          <w:rFonts w:ascii="Arial" w:eastAsia="Times New Roman" w:hAnsi="Arial" w:cs="Arial"/>
          <w:sz w:val="24"/>
          <w:szCs w:val="24"/>
          <w:lang w:eastAsia="pt-BR"/>
        </w:rPr>
        <w:t>antes de mais nada</w:t>
      </w:r>
      <w:proofErr w:type="gramEnd"/>
      <w:r w:rsidRPr="00A8252E">
        <w:rPr>
          <w:rFonts w:ascii="Arial" w:eastAsia="Times New Roman" w:hAnsi="Arial" w:cs="Arial"/>
          <w:sz w:val="24"/>
          <w:szCs w:val="24"/>
          <w:lang w:eastAsia="pt-BR"/>
        </w:rPr>
        <w:t>, é importante ressaltar que qualquer pessoa, por ser dotada de dignidade humana – fundamento da República Federativa do Brasil (artigo 1o, inciso III) – deve ser respeitada e não pode sofrer qualquer espécie de preconceito ou discriminação, seja qual for sua preferência sexual.</w:t>
      </w:r>
    </w:p>
    <w:p w:rsidR="00A8252E" w:rsidRPr="00A8252E" w:rsidRDefault="00A8252E" w:rsidP="00A8252E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252E">
        <w:rPr>
          <w:rFonts w:ascii="Arial" w:eastAsia="Times New Roman" w:hAnsi="Arial" w:cs="Arial"/>
          <w:sz w:val="24"/>
          <w:szCs w:val="24"/>
          <w:lang w:eastAsia="pt-BR"/>
        </w:rPr>
        <w:t>É inadmissível, por conseguinte, que alguém que seja homossexual seja vítima de preconceito, perseguições, agressões, e, o que pior, assassinato!</w:t>
      </w:r>
    </w:p>
    <w:p w:rsidR="00A8252E" w:rsidRPr="00A8252E" w:rsidRDefault="00A8252E" w:rsidP="00A8252E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E daí a importância da atuação engajada de organizações não governamentais como a AVAAZ que lutam, através da coleta de milhões de assinaturas pela internet, para que leis cruéis, e abomináveis sejam abolidas, como </w:t>
      </w:r>
      <w:proofErr w:type="gramStart"/>
      <w:r w:rsidRPr="00A8252E">
        <w:rPr>
          <w:rFonts w:ascii="Arial" w:eastAsia="Times New Roman" w:hAnsi="Arial" w:cs="Arial"/>
          <w:sz w:val="24"/>
          <w:szCs w:val="24"/>
          <w:lang w:eastAsia="pt-BR"/>
        </w:rPr>
        <w:t>por exemplo</w:t>
      </w:r>
      <w:proofErr w:type="gramEnd"/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 a de Uganda, que pretende condenar à morte homossexuais.</w:t>
      </w:r>
    </w:p>
    <w:p w:rsidR="00A8252E" w:rsidRPr="00A8252E" w:rsidRDefault="00A8252E" w:rsidP="00A8252E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Estabelecida </w:t>
      </w:r>
      <w:proofErr w:type="gramStart"/>
      <w:r w:rsidRPr="00A8252E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 premissa da dignidade humana de todas as pessoas que optam por serem gays, lésbicas ou transexuais, passemos às breves críticas à decisão do STF.</w:t>
      </w:r>
    </w:p>
    <w:p w:rsidR="00A8252E" w:rsidRPr="00A8252E" w:rsidRDefault="00A8252E" w:rsidP="00A8252E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A interpretação ampla dada pelo STF ao §3o. </w:t>
      </w:r>
      <w:proofErr w:type="gramStart"/>
      <w:r w:rsidRPr="00A8252E">
        <w:rPr>
          <w:rFonts w:ascii="Arial" w:eastAsia="Times New Roman" w:hAnsi="Arial" w:cs="Arial"/>
          <w:sz w:val="24"/>
          <w:szCs w:val="24"/>
          <w:lang w:eastAsia="pt-BR"/>
        </w:rPr>
        <w:t>do</w:t>
      </w:r>
      <w:proofErr w:type="gramEnd"/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 artigo 226 da Carta Magna de 1988 não nos parece, data vênia, em harmonia com a Lei Maior.</w:t>
      </w:r>
      <w:r w:rsidRPr="00A8252E">
        <w:rPr>
          <w:rFonts w:ascii="Arial" w:eastAsia="Times New Roman" w:hAnsi="Arial" w:cs="Arial"/>
          <w:sz w:val="24"/>
          <w:szCs w:val="24"/>
          <w:lang w:eastAsia="pt-BR"/>
        </w:rPr>
        <w:br/>
        <w:t>A hermenêutica jurídica nos ensina que qualquer norma jurídica deve ser interpretada com amplitude, ou seja, de forma literal, lógica, sistemática, teleológica e histórica.</w:t>
      </w:r>
    </w:p>
    <w:p w:rsidR="00A8252E" w:rsidRPr="00A8252E" w:rsidRDefault="00A8252E" w:rsidP="00A8252E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No julgamento dessa decisão, o Supremo entendeu – invocando o princípio da dignidade da pessoa humana – que o artigo 226 §3o. </w:t>
      </w:r>
      <w:proofErr w:type="gramStart"/>
      <w:r w:rsidRPr="00A8252E">
        <w:rPr>
          <w:rFonts w:ascii="Arial" w:eastAsia="Times New Roman" w:hAnsi="Arial" w:cs="Arial"/>
          <w:sz w:val="24"/>
          <w:szCs w:val="24"/>
          <w:lang w:eastAsia="pt-BR"/>
        </w:rPr>
        <w:t>do</w:t>
      </w:r>
      <w:proofErr w:type="gramEnd"/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 texto constitucional admite outras formas  de entidade familiar, porquanto na redação de tal dispositivo não está expresso que a união estável é apenas formada entre homem e mulher.</w:t>
      </w:r>
    </w:p>
    <w:p w:rsidR="00A8252E" w:rsidRPr="00A8252E" w:rsidRDefault="00A8252E" w:rsidP="00A8252E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252E">
        <w:rPr>
          <w:rFonts w:ascii="Arial" w:eastAsia="Times New Roman" w:hAnsi="Arial" w:cs="Arial"/>
          <w:sz w:val="24"/>
          <w:szCs w:val="24"/>
          <w:lang w:eastAsia="pt-BR"/>
        </w:rPr>
        <w:t>Não concordamos com tal interpretação, porque ao estabelecer que “para efeito da proteção do Estado, é reconhecida a união estável entre homem e mulher, devendo a lei facilitar a sua conversão em casamento (grifos nossos), o legislador constituinte originário quis deixar claro, o que ele considera como união estável, a saber, a que é</w:t>
      </w:r>
      <w:proofErr w:type="gramStart"/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  </w:t>
      </w:r>
      <w:proofErr w:type="gramEnd"/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formada por homem e mulher. E não poderia ser diferente porque só existe complementariedade entre um homem e um mulher. Uma complementariedade que existe em todas as </w:t>
      </w:r>
      <w:r w:rsidRPr="00A8252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dimensões: sexual, psicológica, … e que possibilita a propagação da espécie humana. O conceito constitucional de união estável, portanto, não contraria o princípio da dignidade humana.</w:t>
      </w:r>
    </w:p>
    <w:p w:rsidR="00A8252E" w:rsidRPr="00A8252E" w:rsidRDefault="00A8252E" w:rsidP="00A8252E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252E">
        <w:rPr>
          <w:rFonts w:ascii="Arial" w:eastAsia="Times New Roman" w:hAnsi="Arial" w:cs="Arial"/>
          <w:sz w:val="24"/>
          <w:szCs w:val="24"/>
          <w:lang w:eastAsia="pt-BR"/>
        </w:rPr>
        <w:t>Por outro lado, o</w:t>
      </w:r>
      <w:proofErr w:type="gramStart"/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  </w:t>
      </w:r>
      <w:proofErr w:type="gramEnd"/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§ 4o. </w:t>
      </w:r>
      <w:proofErr w:type="gramStart"/>
      <w:r w:rsidRPr="00A8252E">
        <w:rPr>
          <w:rFonts w:ascii="Arial" w:eastAsia="Times New Roman" w:hAnsi="Arial" w:cs="Arial"/>
          <w:sz w:val="24"/>
          <w:szCs w:val="24"/>
          <w:lang w:eastAsia="pt-BR"/>
        </w:rPr>
        <w:t>do</w:t>
      </w:r>
      <w:proofErr w:type="gramEnd"/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 mesmo artigo estabelece que “entende-se, também, como entidade familiar a comunidade formada por qualquer dos pais e seus descendentes” (grifos nossos), ao passo que logo a seguir , o § 5o. </w:t>
      </w:r>
      <w:proofErr w:type="gramStart"/>
      <w:r w:rsidRPr="00A8252E">
        <w:rPr>
          <w:rFonts w:ascii="Arial" w:eastAsia="Times New Roman" w:hAnsi="Arial" w:cs="Arial"/>
          <w:sz w:val="24"/>
          <w:szCs w:val="24"/>
          <w:lang w:eastAsia="pt-BR"/>
        </w:rPr>
        <w:t>dispõe</w:t>
      </w:r>
      <w:proofErr w:type="gramEnd"/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 que os direitos e deveres referentes à sociedade conjugal são exercidos igualmente pelo homem e pela mulher.</w:t>
      </w:r>
    </w:p>
    <w:p w:rsidR="00A8252E" w:rsidRPr="00A8252E" w:rsidRDefault="00A8252E" w:rsidP="00A8252E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252E">
        <w:rPr>
          <w:rFonts w:ascii="Arial" w:eastAsia="Times New Roman" w:hAnsi="Arial" w:cs="Arial"/>
          <w:sz w:val="24"/>
          <w:szCs w:val="24"/>
          <w:lang w:eastAsia="pt-BR"/>
        </w:rPr>
        <w:t>Ora, salta os olhos, através de uma interpretação literal, lógica, sistemática, teleológica e histórica, que o legislador constituinte apenas quis considerar como união estável àquela formada entre homem e mulher, aceitando ainda como entidade familiar àquela formada por um pai e seu filho, ou pela mãe e seu filho, mais em momento algum, a CF/88 mencionou a união entre pessoas do mesmo sexo.</w:t>
      </w:r>
    </w:p>
    <w:p w:rsidR="00A8252E" w:rsidRPr="00A8252E" w:rsidRDefault="00A8252E" w:rsidP="00A8252E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252E">
        <w:rPr>
          <w:rFonts w:ascii="Arial" w:eastAsia="Times New Roman" w:hAnsi="Arial" w:cs="Arial"/>
          <w:sz w:val="24"/>
          <w:szCs w:val="24"/>
          <w:lang w:eastAsia="pt-BR"/>
        </w:rPr>
        <w:t>Diante de isso, parece-nos claro que a intenção do constituinte originário foi a de não reconhecer a união estável entre pessoas do mesmo sexo.</w:t>
      </w:r>
    </w:p>
    <w:p w:rsidR="00A8252E" w:rsidRPr="00A8252E" w:rsidRDefault="00A8252E" w:rsidP="00A8252E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Caso não assim o fosse – só para argumentar – o citado artigo 226 &amp;3o. </w:t>
      </w:r>
      <w:proofErr w:type="gramStart"/>
      <w:r w:rsidRPr="00A8252E">
        <w:rPr>
          <w:rFonts w:ascii="Arial" w:eastAsia="Times New Roman" w:hAnsi="Arial" w:cs="Arial"/>
          <w:sz w:val="24"/>
          <w:szCs w:val="24"/>
          <w:lang w:eastAsia="pt-BR"/>
        </w:rPr>
        <w:t>poderia</w:t>
      </w:r>
      <w:proofErr w:type="gramEnd"/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 ter sido alterado por Emenda Constitucional, a fim de reconhecer também a união estável entre pessoas do mesmo sexo, o que, contudo, não ocorreu. Aliás, o capítulo VIII da CF/88</w:t>
      </w:r>
      <w:proofErr w:type="gramStart"/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  </w:t>
      </w:r>
      <w:proofErr w:type="gramEnd"/>
      <w:r w:rsidRPr="00A8252E">
        <w:rPr>
          <w:rFonts w:ascii="Arial" w:eastAsia="Times New Roman" w:hAnsi="Arial" w:cs="Arial"/>
          <w:sz w:val="24"/>
          <w:szCs w:val="24"/>
          <w:lang w:eastAsia="pt-BR"/>
        </w:rPr>
        <w:t>–  no qual está inserido o artigo 226 §3o e demais parágrafos -  foi alterado pela  EC no. 65/2010, mas tão somente para alterar a denominação do capítulo, que passou a se chamar “DA FAMÍLIA, DA CRIANÇA, DO ADOLESCENTE, DO JOVEM E DO IDOSO”.</w:t>
      </w:r>
    </w:p>
    <w:p w:rsidR="00A8252E" w:rsidRPr="00A8252E" w:rsidRDefault="00A8252E" w:rsidP="00A8252E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252E">
        <w:rPr>
          <w:rFonts w:ascii="Arial" w:eastAsia="Times New Roman" w:hAnsi="Arial" w:cs="Arial"/>
          <w:sz w:val="24"/>
          <w:szCs w:val="24"/>
          <w:lang w:eastAsia="pt-BR"/>
        </w:rPr>
        <w:t>Se o texto original e atual da Carta Magna de 1988 reconhece a união estável entre homem e mulher, e se todos os métodos interpretativos nos levam a conclusão de que somente é considerada – e tutelada pelo Estado- a união estável entre homem e mulher, será que a decisão do Excelso Pretório de reconhecer a união estável para casais do mesmo sexo está em conformidade com o texto constitucional? </w:t>
      </w:r>
    </w:p>
    <w:p w:rsidR="00A8252E" w:rsidRPr="00A8252E" w:rsidRDefault="00A8252E" w:rsidP="00A8252E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252E">
        <w:rPr>
          <w:rFonts w:ascii="Arial" w:eastAsia="Times New Roman" w:hAnsi="Arial" w:cs="Arial"/>
          <w:sz w:val="24"/>
          <w:szCs w:val="24"/>
          <w:lang w:eastAsia="pt-BR"/>
        </w:rPr>
        <w:t>Será que o STF pode decidir de forma contrária a um conceito que está em vigor na CF/88</w:t>
      </w:r>
      <w:proofErr w:type="gramStart"/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  </w:t>
      </w:r>
      <w:proofErr w:type="gramEnd"/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há 22 (vinte de dois) anos?  Não foi competência exclusiva </w:t>
      </w:r>
      <w:proofErr w:type="gramStart"/>
      <w:r w:rsidRPr="00A8252E">
        <w:rPr>
          <w:rFonts w:ascii="Arial" w:eastAsia="Times New Roman" w:hAnsi="Arial" w:cs="Arial"/>
          <w:sz w:val="24"/>
          <w:szCs w:val="24"/>
          <w:lang w:eastAsia="pt-BR"/>
        </w:rPr>
        <w:t>da Assembleia Nacional Constituinte legislar</w:t>
      </w:r>
      <w:proofErr w:type="gramEnd"/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 e definir o que é considerado como união estável? E não cabe também exclusivamente ao </w:t>
      </w:r>
      <w:r w:rsidRPr="00A8252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Congresso Nacional alterar, se assim o desejar, qualquer dispositivo constitucional por meio de Emenda Constitucional?</w:t>
      </w:r>
    </w:p>
    <w:p w:rsidR="00A8252E" w:rsidRPr="00A8252E" w:rsidRDefault="00A8252E" w:rsidP="00A8252E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Uma preocupação inevitável também surge. Após o reconhecimento dessa união estável </w:t>
      </w:r>
      <w:proofErr w:type="spellStart"/>
      <w:r w:rsidRPr="00A8252E">
        <w:rPr>
          <w:rFonts w:ascii="Arial" w:eastAsia="Times New Roman" w:hAnsi="Arial" w:cs="Arial"/>
          <w:sz w:val="24"/>
          <w:szCs w:val="24"/>
          <w:lang w:eastAsia="pt-BR"/>
        </w:rPr>
        <w:t>homoafetiva</w:t>
      </w:r>
      <w:proofErr w:type="spellEnd"/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, certamente surgirão desdobramentos. Afinal, o mesmo artigo 226 §3o. </w:t>
      </w:r>
      <w:proofErr w:type="gramStart"/>
      <w:r w:rsidRPr="00A8252E">
        <w:rPr>
          <w:rFonts w:ascii="Arial" w:eastAsia="Times New Roman" w:hAnsi="Arial" w:cs="Arial"/>
          <w:sz w:val="24"/>
          <w:szCs w:val="24"/>
          <w:lang w:eastAsia="pt-BR"/>
        </w:rPr>
        <w:t>do</w:t>
      </w:r>
      <w:proofErr w:type="gramEnd"/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  ordenamento constitucional é categórico ao dizer que a lei deve facilitar a conversão da união estável em casamento.</w:t>
      </w:r>
    </w:p>
    <w:p w:rsidR="00A8252E" w:rsidRPr="00A8252E" w:rsidRDefault="00A8252E" w:rsidP="00A8252E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252E">
        <w:rPr>
          <w:rFonts w:ascii="Arial" w:eastAsia="Times New Roman" w:hAnsi="Arial" w:cs="Arial"/>
          <w:sz w:val="24"/>
          <w:szCs w:val="24"/>
          <w:lang w:eastAsia="pt-BR"/>
        </w:rPr>
        <w:t>Uma última indagação se faz necessária e paira no ar. Por que o mesmo Excelso Pretório, no julgamento da Lei de ficha limpa, optou, por maioria, em aplicar a literalidade do artigo 16 da CF/88,</w:t>
      </w:r>
      <w:proofErr w:type="gramStart"/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  </w:t>
      </w:r>
      <w:proofErr w:type="gramEnd"/>
      <w:r w:rsidRPr="00A8252E">
        <w:rPr>
          <w:rFonts w:ascii="Arial" w:eastAsia="Times New Roman" w:hAnsi="Arial" w:cs="Arial"/>
          <w:sz w:val="24"/>
          <w:szCs w:val="24"/>
          <w:lang w:eastAsia="pt-BR"/>
        </w:rPr>
        <w:t xml:space="preserve">sem recorrer aos outros fundamentos e princípios, mas adotou critério distinto ao reconhecer a união </w:t>
      </w:r>
      <w:proofErr w:type="spellStart"/>
      <w:r w:rsidRPr="00A8252E">
        <w:rPr>
          <w:rFonts w:ascii="Arial" w:eastAsia="Times New Roman" w:hAnsi="Arial" w:cs="Arial"/>
          <w:sz w:val="24"/>
          <w:szCs w:val="24"/>
          <w:lang w:eastAsia="pt-BR"/>
        </w:rPr>
        <w:t>homoafetiva</w:t>
      </w:r>
      <w:proofErr w:type="spellEnd"/>
      <w:r w:rsidRPr="00A8252E">
        <w:rPr>
          <w:rFonts w:ascii="Arial" w:eastAsia="Times New Roman" w:hAnsi="Arial" w:cs="Arial"/>
          <w:sz w:val="24"/>
          <w:szCs w:val="24"/>
          <w:lang w:eastAsia="pt-BR"/>
        </w:rPr>
        <w:t>, invocando, de forma enfática, fundamentos e princípios, sem se ater ao que está estabelecido de forma específica no dispositivo que trata da união estável (art. 226 §3o.)?</w:t>
      </w:r>
    </w:p>
    <w:p w:rsidR="00A8252E" w:rsidRPr="00A8252E" w:rsidRDefault="00A8252E" w:rsidP="00A8252E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252E">
        <w:rPr>
          <w:rFonts w:ascii="Arial" w:eastAsia="Times New Roman" w:hAnsi="Arial" w:cs="Arial"/>
          <w:sz w:val="24"/>
          <w:szCs w:val="24"/>
          <w:lang w:eastAsia="pt-BR"/>
        </w:rPr>
        <w:t> Não teria o Colendo STF adotado, </w:t>
      </w:r>
      <w:r w:rsidRPr="00A8252E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data máxima vênia</w:t>
      </w:r>
      <w:r w:rsidRPr="00A8252E">
        <w:rPr>
          <w:rFonts w:ascii="Arial" w:eastAsia="Times New Roman" w:hAnsi="Arial" w:cs="Arial"/>
          <w:sz w:val="24"/>
          <w:szCs w:val="24"/>
          <w:lang w:eastAsia="pt-BR"/>
        </w:rPr>
        <w:t>, dois pesos e duas medidas?</w:t>
      </w:r>
    </w:p>
    <w:p w:rsidR="00853F81" w:rsidRPr="00A8252E" w:rsidRDefault="00853F81" w:rsidP="00A8252E">
      <w:pPr>
        <w:ind w:firstLine="1701"/>
        <w:jc w:val="both"/>
        <w:rPr>
          <w:rFonts w:ascii="Arial" w:hAnsi="Arial" w:cs="Arial"/>
          <w:sz w:val="24"/>
          <w:szCs w:val="24"/>
        </w:rPr>
      </w:pPr>
    </w:p>
    <w:sectPr w:rsidR="00853F81" w:rsidRPr="00A825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2E"/>
    <w:rsid w:val="00853F81"/>
    <w:rsid w:val="00A8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82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252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scricao">
    <w:name w:val="descricao"/>
    <w:basedOn w:val="Normal"/>
    <w:rsid w:val="00A8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8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8252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252E"/>
    <w:rPr>
      <w:b/>
      <w:bCs/>
    </w:rPr>
  </w:style>
  <w:style w:type="character" w:styleId="nfase">
    <w:name w:val="Emphasis"/>
    <w:basedOn w:val="Fontepargpadro"/>
    <w:uiPriority w:val="20"/>
    <w:qFormat/>
    <w:rsid w:val="00A8252E"/>
    <w:rPr>
      <w:i/>
      <w:iCs/>
    </w:rPr>
  </w:style>
  <w:style w:type="character" w:customStyle="1" w:styleId="apple-converted-space">
    <w:name w:val="apple-converted-space"/>
    <w:basedOn w:val="Fontepargpadro"/>
    <w:rsid w:val="00A82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82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252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scricao">
    <w:name w:val="descricao"/>
    <w:basedOn w:val="Normal"/>
    <w:rsid w:val="00A8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8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8252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252E"/>
    <w:rPr>
      <w:b/>
      <w:bCs/>
    </w:rPr>
  </w:style>
  <w:style w:type="character" w:styleId="nfase">
    <w:name w:val="Emphasis"/>
    <w:basedOn w:val="Fontepargpadro"/>
    <w:uiPriority w:val="20"/>
    <w:qFormat/>
    <w:rsid w:val="00A8252E"/>
    <w:rPr>
      <w:i/>
      <w:iCs/>
    </w:rPr>
  </w:style>
  <w:style w:type="character" w:customStyle="1" w:styleId="apple-converted-space">
    <w:name w:val="apple-converted-space"/>
    <w:basedOn w:val="Fontepargpadro"/>
    <w:rsid w:val="00A8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1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8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3411">
          <w:marLeft w:val="300"/>
          <w:marRight w:val="0"/>
          <w:marTop w:val="0"/>
          <w:marBottom w:val="300"/>
          <w:divBdr>
            <w:top w:val="none" w:sz="0" w:space="0" w:color="auto"/>
            <w:left w:val="single" w:sz="6" w:space="15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reitonet.com.br/artigos/perfil/exibir/126387/Rodrigo-Lychow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1111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Duarte</dc:creator>
  <cp:lastModifiedBy>Pedro Duarte</cp:lastModifiedBy>
  <cp:revision>1</cp:revision>
  <dcterms:created xsi:type="dcterms:W3CDTF">2012-04-27T14:05:00Z</dcterms:created>
  <dcterms:modified xsi:type="dcterms:W3CDTF">2012-04-27T14:12:00Z</dcterms:modified>
</cp:coreProperties>
</file>